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35" w:rsidRPr="0015655E" w:rsidRDefault="004F3F35" w:rsidP="004F3F35">
      <w:pPr>
        <w:jc w:val="right"/>
        <w:rPr>
          <w:rFonts w:ascii="Times New Roman" w:hAnsi="Times New Roman" w:cs="Times New Roman"/>
          <w:b/>
          <w:bCs/>
          <w:sz w:val="20"/>
          <w:szCs w:val="20"/>
        </w:rPr>
      </w:pPr>
      <w:r w:rsidRPr="0015655E">
        <w:rPr>
          <w:rFonts w:ascii="Times New Roman" w:hAnsi="Times New Roman" w:cs="Times New Roman"/>
          <w:b/>
          <w:bCs/>
          <w:sz w:val="20"/>
          <w:szCs w:val="20"/>
        </w:rPr>
        <w:t xml:space="preserve">Приложение № 19   </w:t>
      </w:r>
    </w:p>
    <w:p w:rsidR="004F3F35" w:rsidRPr="0015655E" w:rsidRDefault="004F3F35" w:rsidP="004F3F35">
      <w:pPr>
        <w:tabs>
          <w:tab w:val="left" w:pos="540"/>
        </w:tabs>
        <w:ind w:left="426"/>
        <w:jc w:val="right"/>
        <w:rPr>
          <w:rFonts w:ascii="Times New Roman" w:hAnsi="Times New Roman" w:cs="Times New Roman"/>
          <w:b/>
          <w:sz w:val="20"/>
          <w:szCs w:val="20"/>
        </w:rPr>
      </w:pPr>
      <w:r w:rsidRPr="0015655E">
        <w:rPr>
          <w:rFonts w:ascii="Times New Roman" w:hAnsi="Times New Roman" w:cs="Times New Roman"/>
          <w:b/>
          <w:sz w:val="20"/>
          <w:szCs w:val="20"/>
        </w:rPr>
        <w:t xml:space="preserve">к Инструкции об этапах, </w:t>
      </w:r>
    </w:p>
    <w:p w:rsidR="004F3F35" w:rsidRPr="0015655E" w:rsidRDefault="004F3F35" w:rsidP="004F3F35">
      <w:pPr>
        <w:tabs>
          <w:tab w:val="left" w:pos="540"/>
        </w:tabs>
        <w:ind w:left="426"/>
        <w:jc w:val="right"/>
        <w:rPr>
          <w:rFonts w:ascii="Times New Roman" w:hAnsi="Times New Roman" w:cs="Times New Roman"/>
          <w:b/>
          <w:sz w:val="20"/>
          <w:szCs w:val="20"/>
        </w:rPr>
      </w:pPr>
      <w:proofErr w:type="gramStart"/>
      <w:r w:rsidRPr="0015655E">
        <w:rPr>
          <w:rFonts w:ascii="Times New Roman" w:hAnsi="Times New Roman" w:cs="Times New Roman"/>
          <w:b/>
          <w:sz w:val="20"/>
          <w:szCs w:val="20"/>
        </w:rPr>
        <w:t>сроках</w:t>
      </w:r>
      <w:proofErr w:type="gramEnd"/>
      <w:r w:rsidRPr="0015655E">
        <w:rPr>
          <w:rFonts w:ascii="Times New Roman" w:hAnsi="Times New Roman" w:cs="Times New Roman"/>
          <w:b/>
          <w:sz w:val="20"/>
          <w:szCs w:val="20"/>
        </w:rPr>
        <w:t xml:space="preserve">, порядке и процедурах </w:t>
      </w:r>
    </w:p>
    <w:p w:rsidR="004F3F35" w:rsidRPr="0015655E" w:rsidRDefault="004F3F35" w:rsidP="004F3F35">
      <w:pPr>
        <w:pStyle w:val="NoSpacing"/>
        <w:jc w:val="right"/>
        <w:rPr>
          <w:rFonts w:ascii="Times New Roman" w:hAnsi="Times New Roman"/>
          <w:b/>
          <w:sz w:val="20"/>
          <w:szCs w:val="20"/>
        </w:rPr>
      </w:pPr>
      <w:r w:rsidRPr="0015655E">
        <w:rPr>
          <w:rFonts w:ascii="Times New Roman" w:hAnsi="Times New Roman"/>
          <w:b/>
          <w:sz w:val="20"/>
          <w:szCs w:val="20"/>
        </w:rPr>
        <w:t>регистрации ценных бумаг</w:t>
      </w:r>
    </w:p>
    <w:p w:rsidR="004F3F35" w:rsidRPr="0015655E" w:rsidRDefault="004F3F35" w:rsidP="004F3F35">
      <w:pPr>
        <w:pStyle w:val="NoSpacing"/>
        <w:jc w:val="right"/>
        <w:rPr>
          <w:rFonts w:ascii="Times New Roman" w:hAnsi="Times New Roman"/>
          <w:b/>
          <w:bCs/>
        </w:rPr>
      </w:pPr>
    </w:p>
    <w:p w:rsidR="004F3F35" w:rsidRPr="0015655E" w:rsidRDefault="004F3F35" w:rsidP="004F3F35">
      <w:pPr>
        <w:pStyle w:val="NoSpacing"/>
        <w:jc w:val="right"/>
        <w:rPr>
          <w:rFonts w:ascii="Times New Roman" w:hAnsi="Times New Roman"/>
          <w:b/>
          <w:bCs/>
        </w:rPr>
      </w:pPr>
    </w:p>
    <w:p w:rsidR="004F3F35" w:rsidRPr="0015655E" w:rsidRDefault="004F3F35" w:rsidP="004F3F35">
      <w:pPr>
        <w:pStyle w:val="NoSpacing"/>
        <w:jc w:val="both"/>
        <w:rPr>
          <w:rFonts w:ascii="Times New Roman" w:hAnsi="Times New Roman"/>
          <w:b/>
          <w:bCs/>
        </w:rPr>
      </w:pPr>
    </w:p>
    <w:p w:rsidR="004F3F35" w:rsidRPr="0015655E" w:rsidRDefault="004F3F35" w:rsidP="004F3F35">
      <w:pPr>
        <w:pStyle w:val="NoSpacing"/>
        <w:jc w:val="center"/>
        <w:rPr>
          <w:rFonts w:ascii="Times New Roman" w:hAnsi="Times New Roman"/>
          <w:b/>
          <w:bCs/>
          <w:sz w:val="28"/>
          <w:szCs w:val="28"/>
        </w:rPr>
      </w:pPr>
      <w:r w:rsidRPr="0015655E">
        <w:rPr>
          <w:rFonts w:ascii="Times New Roman" w:hAnsi="Times New Roman"/>
          <w:b/>
          <w:bCs/>
          <w:sz w:val="28"/>
          <w:szCs w:val="28"/>
        </w:rPr>
        <w:t xml:space="preserve">Минимальная информация, </w:t>
      </w:r>
      <w:r w:rsidRPr="0015655E">
        <w:rPr>
          <w:rFonts w:ascii="Times New Roman" w:hAnsi="Times New Roman"/>
          <w:b/>
          <w:sz w:val="28"/>
          <w:szCs w:val="28"/>
        </w:rPr>
        <w:t xml:space="preserve">которая должна содержаться в карточке (документе) регистрации для банков </w:t>
      </w:r>
    </w:p>
    <w:p w:rsidR="004F3F35" w:rsidRPr="0015655E" w:rsidRDefault="004F3F35" w:rsidP="004F3F35">
      <w:pPr>
        <w:pStyle w:val="NoSpacing"/>
        <w:jc w:val="center"/>
        <w:rPr>
          <w:rFonts w:ascii="Times New Roman" w:hAnsi="Times New Roman"/>
          <w:b/>
          <w:bCs/>
          <w:sz w:val="28"/>
          <w:szCs w:val="28"/>
        </w:rPr>
      </w:pPr>
    </w:p>
    <w:tbl>
      <w:tblPr>
        <w:tblW w:w="5266" w:type="pct"/>
        <w:tblInd w:w="-393"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711"/>
        <w:gridCol w:w="8844"/>
      </w:tblGrid>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jc w:val="center"/>
              <w:rPr>
                <w:rFonts w:ascii="Times New Roman" w:hAnsi="Times New Roman"/>
                <w:sz w:val="28"/>
                <w:szCs w:val="28"/>
              </w:rPr>
            </w:pPr>
            <w:r w:rsidRPr="0015655E">
              <w:rPr>
                <w:rFonts w:ascii="Times New Roman" w:hAnsi="Times New Roman"/>
                <w:b/>
                <w:bCs/>
                <w:sz w:val="28"/>
                <w:szCs w:val="28"/>
              </w:rPr>
              <w:t xml:space="preserve">1. ОТВЕТСТВЕННЫЕ ЛИЦА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rPr>
                <w:rFonts w:ascii="Times New Roman" w:hAnsi="Times New Roman"/>
                <w:sz w:val="28"/>
                <w:szCs w:val="28"/>
              </w:rPr>
            </w:pPr>
            <w:r w:rsidRPr="0015655E">
              <w:rPr>
                <w:rFonts w:ascii="Times New Roman" w:hAnsi="Times New Roman"/>
                <w:b/>
                <w:bCs/>
                <w:sz w:val="28"/>
                <w:szCs w:val="28"/>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Указать все лица, ответственные за включенные в карточку регистрации сведения, и, в зависимости от случая, лица, ответственные только за ее определенные части, с соответствующими уточнениями. В случае физических лиц, включая членов органов управления эмитента (исполнительный орган, совет общества), указать их фамилию, имя и должность; в случае юридических лиц - наименование, IDNO и юридический адрес.</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rPr>
                <w:rFonts w:ascii="Times New Roman" w:hAnsi="Times New Roman"/>
                <w:sz w:val="28"/>
                <w:szCs w:val="28"/>
              </w:rPr>
            </w:pPr>
            <w:r w:rsidRPr="0015655E">
              <w:rPr>
                <w:rFonts w:ascii="Times New Roman" w:hAnsi="Times New Roman"/>
                <w:b/>
                <w:bCs/>
                <w:sz w:val="28"/>
                <w:szCs w:val="28"/>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proofErr w:type="gramStart"/>
            <w:r w:rsidRPr="0015655E">
              <w:rPr>
                <w:rFonts w:ascii="Times New Roman" w:hAnsi="Times New Roman"/>
                <w:sz w:val="28"/>
                <w:szCs w:val="28"/>
              </w:rPr>
              <w:t>Декларация лиц, ответственных за составление карточки регистрации, и, в зависимости от случая, декларация лиц, ответственных только за определенные части документа регистрации, о том, что после принятия всех разумных мер в этих целях, информация, включенная в документ регистрации/часть документа регистрации, соответствует действительности и в нем не умалчивается информация, которая могла бы существенно повлиять на содержание документа.</w:t>
            </w:r>
            <w:proofErr w:type="gramEnd"/>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sz w:val="28"/>
                <w:szCs w:val="28"/>
              </w:rPr>
            </w:pPr>
            <w:r w:rsidRPr="0015655E">
              <w:rPr>
                <w:rFonts w:ascii="Times New Roman" w:hAnsi="Times New Roman"/>
                <w:b/>
                <w:bCs/>
                <w:sz w:val="28"/>
                <w:szCs w:val="28"/>
              </w:rPr>
              <w:t xml:space="preserve">2. АУДИТОРСКОЕ ОБЩЕСТВО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Указать полное наименование, местонахождение, руководителя, аудитора аудиторского общества, дату и номер аудиторского договора.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В случае, когда аудиторское общество/эмитент расторгнул аудиторский договор по инициативе одной из сторон или аудиторское общество не было переизбрано в </w:t>
            </w:r>
            <w:proofErr w:type="gramStart"/>
            <w:r w:rsidRPr="0015655E">
              <w:rPr>
                <w:rFonts w:ascii="Times New Roman" w:hAnsi="Times New Roman"/>
                <w:sz w:val="28"/>
                <w:szCs w:val="28"/>
              </w:rPr>
              <w:t>период</w:t>
            </w:r>
            <w:proofErr w:type="gramEnd"/>
            <w:r w:rsidRPr="0015655E">
              <w:rPr>
                <w:rFonts w:ascii="Times New Roman" w:hAnsi="Times New Roman"/>
                <w:sz w:val="28"/>
                <w:szCs w:val="28"/>
              </w:rPr>
              <w:t xml:space="preserve"> за который представляются финансовые отчеты, представляется подробная информация об этих ситуациях, если соответствующая информация является важной.</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sz w:val="28"/>
                <w:szCs w:val="28"/>
              </w:rPr>
            </w:pPr>
            <w:r w:rsidRPr="0015655E">
              <w:rPr>
                <w:rFonts w:ascii="Times New Roman" w:hAnsi="Times New Roman"/>
                <w:b/>
                <w:bCs/>
                <w:sz w:val="28"/>
                <w:szCs w:val="28"/>
              </w:rPr>
              <w:t xml:space="preserve">3. ФАКТОРЫ РИСКА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b/>
                <w:sz w:val="28"/>
                <w:szCs w:val="28"/>
              </w:rPr>
            </w:pP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Указать факторы риска, которые могли бы повлиять на способность эмитента выполнить связанные с его ценными бумагами обязательства перед инвесторами.</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sz w:val="28"/>
                <w:szCs w:val="28"/>
              </w:rPr>
            </w:pPr>
            <w:r w:rsidRPr="0015655E">
              <w:rPr>
                <w:rFonts w:ascii="Times New Roman" w:hAnsi="Times New Roman"/>
                <w:b/>
                <w:bCs/>
                <w:sz w:val="28"/>
                <w:szCs w:val="28"/>
              </w:rPr>
              <w:t xml:space="preserve">4. ИНФОРМАЦИЯ ОБ ЭМИТЕНТЕ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2013A6" w:rsidRDefault="004F3F35" w:rsidP="00B24149">
            <w:pPr>
              <w:pStyle w:val="NoSpacing"/>
              <w:widowControl w:val="0"/>
              <w:autoSpaceDE w:val="0"/>
              <w:autoSpaceDN w:val="0"/>
              <w:adjustRightInd w:val="0"/>
              <w:ind w:right="272"/>
              <w:jc w:val="both"/>
              <w:rPr>
                <w:rFonts w:ascii="Times New Roman" w:hAnsi="Times New Roman"/>
                <w:b/>
                <w:bCs/>
                <w:sz w:val="28"/>
                <w:szCs w:val="28"/>
              </w:rPr>
            </w:pPr>
            <w:r w:rsidRPr="002013A6">
              <w:rPr>
                <w:rFonts w:ascii="Times New Roman" w:hAnsi="Times New Roman"/>
                <w:b/>
                <w:bCs/>
                <w:sz w:val="28"/>
                <w:szCs w:val="28"/>
              </w:rPr>
              <w:t>История и развитие общества</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Указать: </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полное наименование, сокращенное наименование и название коммерческих марок эмитента;</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b) дату, место и номер регистрации эмитента;</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lastRenderedPageBreak/>
              <w:t>c) дату создания эмитента;</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d) юридический адрес (местонахождение) и номер телефона эмитента;</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e) законодательство, в соответствие с которым эмитент осуществляет свою деятельность;</w:t>
            </w:r>
          </w:p>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f)  важные события в развитии деятельности эмитента.</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sz w:val="28"/>
                <w:szCs w:val="28"/>
              </w:rPr>
            </w:pPr>
            <w:r w:rsidRPr="0015655E">
              <w:rPr>
                <w:rFonts w:ascii="Times New Roman" w:hAnsi="Times New Roman"/>
                <w:b/>
                <w:bCs/>
                <w:sz w:val="28"/>
                <w:szCs w:val="28"/>
              </w:rPr>
              <w:lastRenderedPageBreak/>
              <w:t xml:space="preserve">5. ОБЩИЕ СВЕДЕНИЯ О ДЕЯТЕЛЬНОСТИ ЭМИТЕНТА </w:t>
            </w:r>
          </w:p>
        </w:tc>
      </w:tr>
      <w:tr w:rsidR="004F3F35" w:rsidRPr="0015655E" w:rsidTr="00B24149">
        <w:trPr>
          <w:trHeight w:val="705"/>
        </w:trPr>
        <w:tc>
          <w:tcPr>
            <w:tcW w:w="372"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1)</w:t>
            </w:r>
          </w:p>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p>
        </w:tc>
        <w:tc>
          <w:tcPr>
            <w:tcW w:w="4628"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4F3F35" w:rsidRPr="002013A6" w:rsidRDefault="004F3F35" w:rsidP="00B24149">
            <w:pPr>
              <w:pStyle w:val="NoSpacing"/>
              <w:widowControl w:val="0"/>
              <w:autoSpaceDE w:val="0"/>
              <w:autoSpaceDN w:val="0"/>
              <w:adjustRightInd w:val="0"/>
              <w:ind w:right="272"/>
              <w:jc w:val="both"/>
              <w:rPr>
                <w:rFonts w:ascii="Times New Roman" w:hAnsi="Times New Roman"/>
                <w:sz w:val="28"/>
                <w:szCs w:val="28"/>
              </w:rPr>
            </w:pPr>
            <w:r w:rsidRPr="002013A6">
              <w:rPr>
                <w:rFonts w:ascii="Times New Roman" w:hAnsi="Times New Roman"/>
                <w:b/>
                <w:bCs/>
                <w:sz w:val="28"/>
                <w:szCs w:val="28"/>
              </w:rPr>
              <w:t>Основная деятельность</w:t>
            </w:r>
          </w:p>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Описание основных видов деятельности эмитента, с указанием главных категорий продаваемых продуктов и предоставляемых услуг. Указать любой новый продаваемый продукт и любую новую осуществляемую деятельность, если соответствующая информация является важной.</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Cs/>
                <w:sz w:val="28"/>
                <w:szCs w:val="28"/>
              </w:rPr>
              <w:t>a)</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Основные рынки. Краткое описание основных </w:t>
            </w:r>
            <w:proofErr w:type="gramStart"/>
            <w:r w:rsidRPr="0015655E">
              <w:rPr>
                <w:rFonts w:ascii="Times New Roman" w:hAnsi="Times New Roman"/>
                <w:sz w:val="28"/>
                <w:szCs w:val="28"/>
              </w:rPr>
              <w:t>рынков</w:t>
            </w:r>
            <w:proofErr w:type="gramEnd"/>
            <w:r w:rsidRPr="0015655E">
              <w:rPr>
                <w:rFonts w:ascii="Times New Roman" w:hAnsi="Times New Roman"/>
                <w:sz w:val="28"/>
                <w:szCs w:val="28"/>
              </w:rPr>
              <w:t xml:space="preserve"> на которых действует эмитент;</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Cs/>
                <w:sz w:val="28"/>
                <w:szCs w:val="28"/>
              </w:rPr>
              <w:t>b)</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Элементы, на которых основывается любая декларация эмитента о своей конкурентоспособной позиции.</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sz w:val="28"/>
                <w:szCs w:val="28"/>
              </w:rPr>
            </w:pPr>
            <w:r w:rsidRPr="0015655E">
              <w:rPr>
                <w:rFonts w:ascii="Times New Roman" w:hAnsi="Times New Roman"/>
                <w:b/>
                <w:bCs/>
                <w:sz w:val="28"/>
                <w:szCs w:val="28"/>
              </w:rPr>
              <w:t xml:space="preserve">6. ОРГАНИГРАММА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Если эмитент является частью группы - краткое описание группы и позиции эмитента в рамках группы.</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Если эмитент зависим от других обществ в рамках группы, точно указать данный факт и описать отношения зависимости.</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sz w:val="28"/>
                <w:szCs w:val="28"/>
              </w:rPr>
            </w:pPr>
            <w:r w:rsidRPr="0015655E">
              <w:rPr>
                <w:rFonts w:ascii="Times New Roman" w:hAnsi="Times New Roman"/>
                <w:b/>
                <w:bCs/>
                <w:sz w:val="28"/>
                <w:szCs w:val="28"/>
              </w:rPr>
              <w:t xml:space="preserve">7. ИНФОРМАЦИЯ О ТЕНДЕНЦИЯХ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Декларация, подтверждающая, что перспективы эмитента не потерпели существенных изменений </w:t>
            </w:r>
            <w:proofErr w:type="gramStart"/>
            <w:r w:rsidRPr="0015655E">
              <w:rPr>
                <w:rFonts w:ascii="Times New Roman" w:hAnsi="Times New Roman"/>
                <w:sz w:val="28"/>
                <w:szCs w:val="28"/>
              </w:rPr>
              <w:t>с даты опубликования</w:t>
            </w:r>
            <w:proofErr w:type="gramEnd"/>
            <w:r w:rsidRPr="0015655E">
              <w:rPr>
                <w:rFonts w:ascii="Times New Roman" w:hAnsi="Times New Roman"/>
                <w:sz w:val="28"/>
                <w:szCs w:val="28"/>
              </w:rPr>
              <w:t xml:space="preserve"> своего последнего финансового отчета. </w:t>
            </w:r>
          </w:p>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Если эмитент не в состоянии сделать такую декларацию, указать подробности о произошедших существенных изменениях.</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Информация о любой известной тенденции, неопределенности или требовании, либо о любом обязательстве или событии, которые могли бы существенно повлиять на перспективы эмитента, как минимум за текущий отчетный период.</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b/>
                <w:bCs/>
                <w:sz w:val="28"/>
                <w:szCs w:val="28"/>
              </w:rPr>
            </w:pPr>
            <w:r w:rsidRPr="0015655E">
              <w:rPr>
                <w:rFonts w:ascii="Times New Roman" w:hAnsi="Times New Roman"/>
                <w:b/>
                <w:bCs/>
                <w:sz w:val="28"/>
                <w:szCs w:val="28"/>
              </w:rPr>
              <w:t xml:space="preserve">8. ПРОГНОЗИРОВАНИЕ ИЛИ ОЦЕНКА ПРИБЫЛИ </w:t>
            </w:r>
          </w:p>
        </w:tc>
      </w:tr>
      <w:tr w:rsidR="004F3F35" w:rsidRPr="0015655E" w:rsidTr="00B24149">
        <w:trPr>
          <w:trHeight w:val="1827"/>
        </w:trPr>
        <w:tc>
          <w:tcPr>
            <w:tcW w:w="372"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1)</w:t>
            </w:r>
          </w:p>
        </w:tc>
        <w:tc>
          <w:tcPr>
            <w:tcW w:w="4628"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В случае, когда эмитент решает включить в документ регистрации прогнозирование или оценку прибыли, он должен непременно содержать:</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декларацию о главных гипотезах, на которых эмитент основал прогнозирование или оценку;</w:t>
            </w:r>
          </w:p>
          <w:p w:rsidR="004F3F35" w:rsidRPr="0015655E" w:rsidRDefault="004F3F35" w:rsidP="00B24149">
            <w:pPr>
              <w:pStyle w:val="NoSpacing"/>
              <w:widowControl w:val="0"/>
              <w:autoSpaceDE w:val="0"/>
              <w:autoSpaceDN w:val="0"/>
              <w:adjustRightInd w:val="0"/>
              <w:ind w:right="283"/>
              <w:jc w:val="both"/>
              <w:rPr>
                <w:rFonts w:ascii="Times New Roman" w:hAnsi="Times New Roman"/>
                <w:bCs/>
                <w:sz w:val="28"/>
                <w:szCs w:val="28"/>
              </w:rPr>
            </w:pPr>
            <w:r w:rsidRPr="0015655E">
              <w:rPr>
                <w:rFonts w:ascii="Times New Roman" w:hAnsi="Times New Roman"/>
                <w:bCs/>
                <w:sz w:val="28"/>
                <w:szCs w:val="28"/>
              </w:rPr>
              <w:t xml:space="preserve">Необходимо отчетливо разграничить гипотезы о факторах, способных повлиять на членов органов управления, от гипотез о факторах, находящихся вне зоны влияния данных лиц. Соответствующие гипотезы должны быть легко поняты инвесторами, должны быть ясными и точными и не должны быть связанными с общими </w:t>
            </w:r>
            <w:r w:rsidRPr="0015655E">
              <w:rPr>
                <w:rFonts w:ascii="Times New Roman" w:hAnsi="Times New Roman"/>
                <w:bCs/>
                <w:sz w:val="28"/>
                <w:szCs w:val="28"/>
              </w:rPr>
              <w:lastRenderedPageBreak/>
              <w:t>оценками, на которых основывается прогноз;</w:t>
            </w:r>
          </w:p>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proofErr w:type="gramStart"/>
            <w:r w:rsidRPr="0015655E">
              <w:rPr>
                <w:rFonts w:ascii="Times New Roman" w:hAnsi="Times New Roman"/>
                <w:sz w:val="28"/>
                <w:szCs w:val="28"/>
              </w:rPr>
              <w:t>b) отчет, составленный аудиторским обществом, в котором уточняется, что, по его мнению, прогнозирование или оценка прибыли были разработаны соответствующим образом, исходя из указанной базы, и что используемая для данного прогнозирования или оценки база бухгалтерского учета согласуется с применяемыми эмитентом методами бухгалтерского учета.</w:t>
            </w:r>
            <w:proofErr w:type="gramEnd"/>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lastRenderedPageBreak/>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Прогнозирование или оценка прибыли должны быть разработаны на основе сравнимой с основой финансовой информации.</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sz w:val="28"/>
                <w:szCs w:val="28"/>
              </w:rPr>
            </w:pPr>
            <w:r w:rsidRPr="0015655E">
              <w:rPr>
                <w:rFonts w:ascii="Times New Roman" w:hAnsi="Times New Roman"/>
                <w:b/>
                <w:bCs/>
                <w:sz w:val="28"/>
                <w:szCs w:val="28"/>
              </w:rPr>
              <w:t xml:space="preserve">9. ОРГАНЫ УПРАВЛЕНИЯ ЭМИТЕНТОМ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Указать: </w:t>
            </w:r>
          </w:p>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a) членов органов управления (исполнительный орган, совет общества);</w:t>
            </w:r>
          </w:p>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b) фамилию, рабочий адрес и должность в рамках эмитента.</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2013A6" w:rsidRDefault="004F3F35" w:rsidP="00B24149">
            <w:pPr>
              <w:pStyle w:val="NoSpacing"/>
              <w:widowControl w:val="0"/>
              <w:autoSpaceDE w:val="0"/>
              <w:autoSpaceDN w:val="0"/>
              <w:adjustRightInd w:val="0"/>
              <w:ind w:right="272"/>
              <w:jc w:val="both"/>
              <w:rPr>
                <w:rFonts w:ascii="Times New Roman" w:hAnsi="Times New Roman"/>
                <w:sz w:val="28"/>
                <w:szCs w:val="28"/>
              </w:rPr>
            </w:pPr>
            <w:r w:rsidRPr="002013A6">
              <w:rPr>
                <w:rFonts w:ascii="Times New Roman" w:hAnsi="Times New Roman"/>
                <w:b/>
                <w:bCs/>
                <w:sz w:val="28"/>
                <w:szCs w:val="28"/>
              </w:rPr>
              <w:t>Конфликты интересов на уровне органов управления</w:t>
            </w:r>
          </w:p>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Точная информация </w:t>
            </w:r>
            <w:proofErr w:type="gramStart"/>
            <w:r w:rsidRPr="0015655E">
              <w:rPr>
                <w:rFonts w:ascii="Times New Roman" w:hAnsi="Times New Roman"/>
                <w:sz w:val="28"/>
                <w:szCs w:val="28"/>
              </w:rPr>
              <w:t>о любом потенциальном конфликте интересов между обязательствами перед эмитентом любого лица из указанных в</w:t>
            </w:r>
            <w:r>
              <w:rPr>
                <w:rFonts w:ascii="Times New Roman" w:hAnsi="Times New Roman"/>
                <w:sz w:val="28"/>
                <w:szCs w:val="28"/>
              </w:rPr>
              <w:t xml:space="preserve"> под</w:t>
            </w:r>
            <w:r w:rsidRPr="0015655E">
              <w:rPr>
                <w:rFonts w:ascii="Times New Roman" w:hAnsi="Times New Roman"/>
                <w:sz w:val="28"/>
                <w:szCs w:val="28"/>
              </w:rPr>
              <w:t>пункте</w:t>
            </w:r>
            <w:proofErr w:type="gramEnd"/>
            <w:r w:rsidRPr="0015655E">
              <w:rPr>
                <w:rFonts w:ascii="Times New Roman" w:hAnsi="Times New Roman"/>
                <w:sz w:val="28"/>
                <w:szCs w:val="28"/>
              </w:rPr>
              <w:t xml:space="preserve"> 1</w:t>
            </w:r>
            <w:r>
              <w:rPr>
                <w:rFonts w:ascii="Times New Roman" w:hAnsi="Times New Roman"/>
                <w:sz w:val="28"/>
                <w:szCs w:val="28"/>
              </w:rPr>
              <w:t>)</w:t>
            </w:r>
            <w:r w:rsidRPr="0015655E">
              <w:rPr>
                <w:rFonts w:ascii="Times New Roman" w:hAnsi="Times New Roman"/>
                <w:sz w:val="28"/>
                <w:szCs w:val="28"/>
              </w:rPr>
              <w:t xml:space="preserve"> и  его  личными интересами и иными обязательствами. При отсутствии такого рода конфликтов интересов, представляется декларация об этом.</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sz w:val="28"/>
                <w:szCs w:val="28"/>
              </w:rPr>
            </w:pPr>
            <w:r w:rsidRPr="0015655E">
              <w:rPr>
                <w:rFonts w:ascii="Times New Roman" w:hAnsi="Times New Roman"/>
                <w:b/>
                <w:bCs/>
                <w:sz w:val="28"/>
                <w:szCs w:val="28"/>
              </w:rPr>
              <w:t xml:space="preserve">10. МАЖОРИТАРНЫЕ АКЦИОНЕРЫ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Указать информацию о существенных владениях в уставном капитале банка и о </w:t>
            </w:r>
            <w:proofErr w:type="spellStart"/>
            <w:r w:rsidRPr="0015655E">
              <w:rPr>
                <w:rFonts w:ascii="Times New Roman" w:hAnsi="Times New Roman"/>
                <w:sz w:val="28"/>
                <w:szCs w:val="28"/>
              </w:rPr>
              <w:t>выгодоприобретающих</w:t>
            </w:r>
            <w:proofErr w:type="spellEnd"/>
            <w:r w:rsidRPr="0015655E">
              <w:rPr>
                <w:rFonts w:ascii="Times New Roman" w:hAnsi="Times New Roman"/>
                <w:sz w:val="28"/>
                <w:szCs w:val="28"/>
              </w:rPr>
              <w:t xml:space="preserve"> собственниках в соответствии с Законом о деятельности банков № 202 от 6 октября 2017 года и нормативными актами Национального банка Молдовы, раздельно для простых и привилегированных акций.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Описание известных эмитенту соглашений, применение которых может привести, в дальнейшем, к изменению контроля над эмитентом. </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b/>
                <w:bCs/>
                <w:sz w:val="28"/>
                <w:szCs w:val="28"/>
              </w:rPr>
            </w:pPr>
            <w:r w:rsidRPr="0015655E">
              <w:rPr>
                <w:rFonts w:ascii="Times New Roman" w:hAnsi="Times New Roman"/>
                <w:b/>
                <w:bCs/>
                <w:sz w:val="28"/>
                <w:szCs w:val="28"/>
              </w:rPr>
              <w:t xml:space="preserve">11. ФИНАНСОВАЯ ИНФОРМАЦИЯ ОБ ИМУЩЕСТВЕ, ФИНАНСОВЫЙ ОТЧЕТ И РЕЗУЛЬТАТЫ ЭМИТЕНТА </w:t>
            </w:r>
          </w:p>
        </w:tc>
      </w:tr>
      <w:tr w:rsidR="004F3F35" w:rsidRPr="0015655E" w:rsidTr="00B24149">
        <w:trPr>
          <w:trHeight w:val="2536"/>
        </w:trPr>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281FA0" w:rsidRDefault="004F3F35" w:rsidP="00B24149">
            <w:pPr>
              <w:pStyle w:val="NoSpacing"/>
              <w:widowControl w:val="0"/>
              <w:autoSpaceDE w:val="0"/>
              <w:autoSpaceDN w:val="0"/>
              <w:adjustRightInd w:val="0"/>
              <w:ind w:right="283"/>
              <w:jc w:val="both"/>
              <w:rPr>
                <w:rFonts w:ascii="Times New Roman" w:hAnsi="Times New Roman"/>
                <w:b/>
                <w:sz w:val="28"/>
                <w:szCs w:val="28"/>
              </w:rPr>
            </w:pPr>
            <w:r w:rsidRPr="00281FA0">
              <w:rPr>
                <w:rFonts w:ascii="Times New Roman" w:hAnsi="Times New Roman"/>
                <w:b/>
                <w:bCs/>
                <w:sz w:val="28"/>
                <w:szCs w:val="28"/>
              </w:rPr>
              <w:t>Историческая финансовая информация</w:t>
            </w:r>
          </w:p>
          <w:p w:rsidR="004F3F35" w:rsidRDefault="004F3F35" w:rsidP="00B24149">
            <w:pPr>
              <w:pStyle w:val="NoSpacing"/>
              <w:widowControl w:val="0"/>
              <w:autoSpaceDE w:val="0"/>
              <w:autoSpaceDN w:val="0"/>
              <w:adjustRightInd w:val="0"/>
              <w:ind w:right="179"/>
              <w:jc w:val="both"/>
              <w:outlineLvl w:val="1"/>
              <w:rPr>
                <w:rFonts w:ascii="Times New Roman" w:hAnsi="Times New Roman"/>
                <w:sz w:val="28"/>
                <w:szCs w:val="28"/>
              </w:rPr>
            </w:pPr>
            <w:r w:rsidRPr="0015655E">
              <w:rPr>
                <w:rFonts w:ascii="Times New Roman" w:hAnsi="Times New Roman"/>
                <w:sz w:val="28"/>
                <w:szCs w:val="28"/>
              </w:rPr>
              <w:t>Финансовая информация за последние два отчетные периоды (или за весь период, если эмитент действует менее двух лет) и аудиторский отчет, соответствующий каждому отчетному периоду.</w:t>
            </w:r>
            <w:r>
              <w:rPr>
                <w:rFonts w:ascii="Times New Roman" w:hAnsi="Times New Roman"/>
                <w:sz w:val="28"/>
                <w:szCs w:val="28"/>
              </w:rPr>
              <w:t xml:space="preserve"> </w:t>
            </w:r>
            <w:r w:rsidRPr="0015655E">
              <w:rPr>
                <w:rFonts w:ascii="Times New Roman" w:hAnsi="Times New Roman"/>
                <w:sz w:val="28"/>
                <w:szCs w:val="28"/>
              </w:rPr>
              <w:t>Историческая</w:t>
            </w:r>
            <w:r>
              <w:rPr>
                <w:rFonts w:ascii="Times New Roman" w:hAnsi="Times New Roman"/>
                <w:sz w:val="28"/>
                <w:szCs w:val="28"/>
              </w:rPr>
              <w:t xml:space="preserve"> ф</w:t>
            </w:r>
            <w:r w:rsidRPr="0015655E">
              <w:rPr>
                <w:rFonts w:ascii="Times New Roman" w:hAnsi="Times New Roman"/>
                <w:sz w:val="28"/>
                <w:szCs w:val="28"/>
              </w:rPr>
              <w:t xml:space="preserve">инансовая информация </w:t>
            </w:r>
            <w:r>
              <w:rPr>
                <w:rFonts w:ascii="Times New Roman" w:hAnsi="Times New Roman"/>
                <w:sz w:val="28"/>
                <w:szCs w:val="28"/>
              </w:rPr>
              <w:t>должна</w:t>
            </w:r>
            <w:r w:rsidRPr="0015655E">
              <w:rPr>
                <w:rFonts w:ascii="Times New Roman" w:hAnsi="Times New Roman"/>
                <w:sz w:val="28"/>
                <w:szCs w:val="28"/>
              </w:rPr>
              <w:t xml:space="preserve"> быть разработана в соответствии с IFRS</w:t>
            </w:r>
            <w:r>
              <w:rPr>
                <w:rFonts w:ascii="Times New Roman" w:hAnsi="Times New Roman"/>
                <w:sz w:val="28"/>
                <w:szCs w:val="28"/>
              </w:rPr>
              <w:t>, согласно закону о бухгалтерском учете.</w:t>
            </w:r>
          </w:p>
          <w:p w:rsidR="004F3F35" w:rsidRDefault="004F3F35" w:rsidP="00B24149">
            <w:pPr>
              <w:pStyle w:val="NoSpacing"/>
              <w:widowControl w:val="0"/>
              <w:autoSpaceDE w:val="0"/>
              <w:autoSpaceDN w:val="0"/>
              <w:adjustRightInd w:val="0"/>
              <w:ind w:right="179"/>
              <w:jc w:val="both"/>
              <w:outlineLvl w:val="1"/>
              <w:rPr>
                <w:rFonts w:ascii="Times New Roman" w:hAnsi="Times New Roman"/>
                <w:sz w:val="28"/>
                <w:szCs w:val="28"/>
              </w:rPr>
            </w:pPr>
            <w:r w:rsidRPr="0015655E">
              <w:rPr>
                <w:rFonts w:ascii="Times New Roman" w:hAnsi="Times New Roman"/>
                <w:sz w:val="28"/>
                <w:szCs w:val="28"/>
              </w:rPr>
              <w:t xml:space="preserve">Финансовая информация за два последних отчетных периода должна быть составлена и представлена в форме совместимой с формой, которая будет использована для следующих годовых финансовых отчетов, опубликованных эмитентом, принимая во внимание стандарты и методы бухгалтерского учета и законодательство в области бухгалтерского учета, применяемые к соответствующим </w:t>
            </w:r>
            <w:r w:rsidRPr="0015655E">
              <w:rPr>
                <w:rFonts w:ascii="Times New Roman" w:hAnsi="Times New Roman"/>
                <w:sz w:val="28"/>
                <w:szCs w:val="28"/>
              </w:rPr>
              <w:lastRenderedPageBreak/>
              <w:t>годовым финансовым отчетам.</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В противном случае, в документ регистрации необходимо включить, по меньшей мере:</w:t>
            </w:r>
          </w:p>
          <w:p w:rsidR="004F3F35" w:rsidRPr="0015655E" w:rsidRDefault="004F3F35" w:rsidP="00B24149">
            <w:pPr>
              <w:pStyle w:val="NoSpacing"/>
              <w:widowControl w:val="0"/>
              <w:autoSpaceDE w:val="0"/>
              <w:autoSpaceDN w:val="0"/>
              <w:adjustRightInd w:val="0"/>
              <w:ind w:right="283"/>
              <w:jc w:val="both"/>
              <w:rPr>
                <w:rFonts w:ascii="Times New Roman" w:hAnsi="Times New Roman"/>
                <w:bCs/>
                <w:sz w:val="28"/>
                <w:szCs w:val="28"/>
              </w:rPr>
            </w:pPr>
            <w:r w:rsidRPr="0015655E">
              <w:rPr>
                <w:rFonts w:ascii="Times New Roman" w:hAnsi="Times New Roman"/>
                <w:bCs/>
                <w:sz w:val="28"/>
                <w:szCs w:val="28"/>
              </w:rPr>
              <w:t>a) декларацию о том, что включенная в документ регистрации информация не была разработана в соответствии с международными стандартами бухгалтерского учета;</w:t>
            </w:r>
          </w:p>
          <w:p w:rsidR="004F3F35" w:rsidRPr="0015655E" w:rsidRDefault="004F3F35" w:rsidP="00B24149">
            <w:pPr>
              <w:pStyle w:val="NoSpacing"/>
              <w:widowControl w:val="0"/>
              <w:autoSpaceDE w:val="0"/>
              <w:autoSpaceDN w:val="0"/>
              <w:adjustRightInd w:val="0"/>
              <w:ind w:right="283"/>
              <w:jc w:val="both"/>
              <w:rPr>
                <w:rFonts w:ascii="Times New Roman" w:hAnsi="Times New Roman"/>
                <w:bCs/>
                <w:sz w:val="28"/>
                <w:szCs w:val="28"/>
              </w:rPr>
            </w:pPr>
            <w:r w:rsidRPr="0015655E">
              <w:rPr>
                <w:rFonts w:ascii="Times New Roman" w:hAnsi="Times New Roman"/>
                <w:bCs/>
                <w:sz w:val="28"/>
                <w:szCs w:val="28"/>
              </w:rPr>
              <w:t>b)</w:t>
            </w:r>
            <w:r w:rsidRPr="0015655E">
              <w:rPr>
                <w:rFonts w:ascii="Times New Roman" w:hAnsi="Times New Roman"/>
                <w:sz w:val="28"/>
                <w:szCs w:val="28"/>
              </w:rPr>
              <w:t xml:space="preserve"> описание существующих различий между международными стандартами бухгалтерского учета и принципами бухгалтерского учета, </w:t>
            </w:r>
            <w:proofErr w:type="gramStart"/>
            <w:r w:rsidRPr="0015655E">
              <w:rPr>
                <w:rFonts w:ascii="Times New Roman" w:hAnsi="Times New Roman"/>
                <w:sz w:val="28"/>
                <w:szCs w:val="28"/>
              </w:rPr>
              <w:t>применяемые</w:t>
            </w:r>
            <w:proofErr w:type="gramEnd"/>
            <w:r w:rsidRPr="0015655E">
              <w:rPr>
                <w:rFonts w:ascii="Times New Roman" w:hAnsi="Times New Roman"/>
                <w:sz w:val="28"/>
                <w:szCs w:val="28"/>
              </w:rPr>
              <w:t xml:space="preserve"> эмитентом при составлении своих годовых финансовых отчетов</w:t>
            </w:r>
            <w:r w:rsidRPr="0015655E">
              <w:rPr>
                <w:rFonts w:ascii="Times New Roman" w:hAnsi="Times New Roman"/>
                <w:bCs/>
                <w:sz w:val="28"/>
                <w:szCs w:val="28"/>
              </w:rPr>
              <w:t>.</w:t>
            </w:r>
          </w:p>
          <w:p w:rsidR="004F3F35" w:rsidRPr="0015655E" w:rsidRDefault="004F3F35" w:rsidP="00B24149">
            <w:pPr>
              <w:pStyle w:val="NoSpacing"/>
              <w:widowControl w:val="0"/>
              <w:autoSpaceDE w:val="0"/>
              <w:autoSpaceDN w:val="0"/>
              <w:adjustRightInd w:val="0"/>
              <w:ind w:right="283"/>
              <w:jc w:val="both"/>
              <w:rPr>
                <w:rFonts w:ascii="Times New Roman" w:hAnsi="Times New Roman"/>
                <w:bCs/>
                <w:sz w:val="28"/>
                <w:szCs w:val="28"/>
              </w:rPr>
            </w:pPr>
            <w:r w:rsidRPr="0015655E">
              <w:rPr>
                <w:rFonts w:ascii="Times New Roman" w:hAnsi="Times New Roman"/>
                <w:bCs/>
                <w:sz w:val="28"/>
                <w:szCs w:val="28"/>
              </w:rPr>
              <w:t xml:space="preserve">Если эмитент осуществляет деятельность в области своей нынешней деятельности менее одного года, финансовая информация за данный период должна быть разработана в соответствии </w:t>
            </w:r>
            <w:proofErr w:type="gramStart"/>
            <w:r w:rsidRPr="0015655E">
              <w:rPr>
                <w:rFonts w:ascii="Times New Roman" w:hAnsi="Times New Roman"/>
                <w:bCs/>
                <w:sz w:val="28"/>
                <w:szCs w:val="28"/>
              </w:rPr>
              <w:t>с</w:t>
            </w:r>
            <w:proofErr w:type="gramEnd"/>
            <w:r w:rsidRPr="0015655E">
              <w:rPr>
                <w:rFonts w:ascii="Times New Roman" w:hAnsi="Times New Roman"/>
                <w:bCs/>
                <w:sz w:val="28"/>
                <w:szCs w:val="28"/>
              </w:rPr>
              <w:t xml:space="preserve"> стандартами бухгалтерского учета, применяемыми к годовым финансовым отчетам. Данная финансовая информация подвергается аудиту.</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Если составляется в соответствии с национальными стандартами бухгалтерского учета, финансовая информация, предусмотренная настоящей рубрикой, должна </w:t>
            </w:r>
            <w:proofErr w:type="gramStart"/>
            <w:r w:rsidRPr="0015655E">
              <w:rPr>
                <w:rFonts w:ascii="Times New Roman" w:hAnsi="Times New Roman"/>
                <w:sz w:val="28"/>
                <w:szCs w:val="28"/>
              </w:rPr>
              <w:t>содержать</w:t>
            </w:r>
            <w:proofErr w:type="gramEnd"/>
            <w:r w:rsidRPr="0015655E">
              <w:rPr>
                <w:rFonts w:ascii="Times New Roman" w:hAnsi="Times New Roman"/>
                <w:sz w:val="28"/>
                <w:szCs w:val="28"/>
              </w:rPr>
              <w:t xml:space="preserve"> по меньшей мере:</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баланс;</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b) отчет о прибыли и убытках;</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c)  отчет об изменениях собственного капитала;</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d) отчет о движении денежных средств;</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e)  пояснительные записки к финансовым отчетам.</w:t>
            </w:r>
          </w:p>
          <w:p w:rsidR="004F3F35" w:rsidRPr="0015655E" w:rsidRDefault="004F3F35" w:rsidP="00B24149">
            <w:pPr>
              <w:pStyle w:val="NoSpacing"/>
              <w:widowControl w:val="0"/>
              <w:autoSpaceDE w:val="0"/>
              <w:autoSpaceDN w:val="0"/>
              <w:adjustRightInd w:val="0"/>
              <w:ind w:right="272"/>
              <w:jc w:val="both"/>
              <w:rPr>
                <w:rFonts w:ascii="Times New Roman" w:hAnsi="Times New Roman"/>
                <w:vanish/>
                <w:sz w:val="28"/>
                <w:szCs w:val="28"/>
              </w:rPr>
            </w:pPr>
            <w:r w:rsidRPr="0015655E">
              <w:rPr>
                <w:rFonts w:ascii="Times New Roman" w:hAnsi="Times New Roman"/>
                <w:sz w:val="28"/>
                <w:szCs w:val="28"/>
              </w:rPr>
              <w:t>Годовая финансовая информация должна подвергаться независимому аудиту и сопровождаться примечанием о том, что, согласно документу регистрации, она дает точное представление, соответствующее стандартам аудита.</w:t>
            </w:r>
          </w:p>
          <w:p w:rsidR="004F3F35" w:rsidRPr="0015655E" w:rsidRDefault="004F3F35" w:rsidP="00B24149">
            <w:pPr>
              <w:pStyle w:val="NoSpacing"/>
              <w:widowControl w:val="0"/>
              <w:autoSpaceDE w:val="0"/>
              <w:autoSpaceDN w:val="0"/>
              <w:adjustRightInd w:val="0"/>
              <w:ind w:right="272"/>
              <w:jc w:val="both"/>
              <w:rPr>
                <w:rFonts w:ascii="Times New Roman" w:hAnsi="Times New Roman"/>
                <w:vanish/>
                <w:sz w:val="28"/>
                <w:szCs w:val="28"/>
              </w:rPr>
            </w:pPr>
          </w:p>
          <w:p w:rsidR="004F3F35" w:rsidRPr="0015655E" w:rsidRDefault="004F3F35" w:rsidP="00B24149">
            <w:pPr>
              <w:pStyle w:val="NoSpacing"/>
              <w:widowControl w:val="0"/>
              <w:autoSpaceDE w:val="0"/>
              <w:autoSpaceDN w:val="0"/>
              <w:adjustRightInd w:val="0"/>
              <w:ind w:right="272"/>
              <w:jc w:val="both"/>
              <w:rPr>
                <w:rFonts w:ascii="Times New Roman" w:hAnsi="Times New Roman"/>
                <w:vanish/>
                <w:sz w:val="28"/>
                <w:szCs w:val="28"/>
              </w:rPr>
            </w:pPr>
          </w:p>
          <w:p w:rsidR="004F3F35" w:rsidRPr="0015655E" w:rsidRDefault="004F3F35" w:rsidP="00B24149">
            <w:pPr>
              <w:pStyle w:val="NoSpacing"/>
              <w:widowControl w:val="0"/>
              <w:autoSpaceDE w:val="0"/>
              <w:autoSpaceDN w:val="0"/>
              <w:adjustRightInd w:val="0"/>
              <w:ind w:right="272"/>
              <w:jc w:val="both"/>
              <w:rPr>
                <w:rFonts w:ascii="Times New Roman" w:hAnsi="Times New Roman"/>
                <w:vanish/>
                <w:sz w:val="28"/>
                <w:szCs w:val="28"/>
              </w:rPr>
            </w:pPr>
          </w:p>
          <w:p w:rsidR="004F3F35" w:rsidRPr="0015655E" w:rsidRDefault="004F3F35" w:rsidP="00B24149">
            <w:pPr>
              <w:pStyle w:val="NoSpacing"/>
              <w:widowControl w:val="0"/>
              <w:autoSpaceDE w:val="0"/>
              <w:autoSpaceDN w:val="0"/>
              <w:adjustRightInd w:val="0"/>
              <w:ind w:right="283"/>
              <w:jc w:val="both"/>
              <w:rPr>
                <w:rFonts w:ascii="Times New Roman" w:hAnsi="Times New Roman"/>
                <w:bCs/>
                <w:vanish/>
                <w:sz w:val="28"/>
                <w:szCs w:val="28"/>
              </w:rPr>
            </w:pPr>
          </w:p>
          <w:p w:rsidR="004F3F35" w:rsidRPr="0015655E" w:rsidRDefault="004F3F35" w:rsidP="00B24149">
            <w:pPr>
              <w:pStyle w:val="NoSpacing"/>
              <w:widowControl w:val="0"/>
              <w:autoSpaceDE w:val="0"/>
              <w:autoSpaceDN w:val="0"/>
              <w:adjustRightInd w:val="0"/>
              <w:ind w:left="142" w:right="283"/>
              <w:jc w:val="both"/>
              <w:rPr>
                <w:rFonts w:ascii="Times New Roman" w:hAnsi="Times New Roman"/>
                <w:bCs/>
                <w:vanish/>
                <w:sz w:val="28"/>
                <w:szCs w:val="28"/>
              </w:rPr>
            </w:pPr>
          </w:p>
          <w:p w:rsidR="004F3F35" w:rsidRPr="0015655E" w:rsidRDefault="004F3F35" w:rsidP="00B24149">
            <w:pPr>
              <w:pStyle w:val="NoSpacing"/>
              <w:widowControl w:val="0"/>
              <w:autoSpaceDE w:val="0"/>
              <w:autoSpaceDN w:val="0"/>
              <w:adjustRightInd w:val="0"/>
              <w:ind w:left="142" w:right="283"/>
              <w:jc w:val="both"/>
              <w:rPr>
                <w:rFonts w:ascii="Times New Roman" w:hAnsi="Times New Roman"/>
                <w:bCs/>
                <w:vanish/>
                <w:sz w:val="28"/>
                <w:szCs w:val="28"/>
              </w:rPr>
            </w:pPr>
          </w:p>
          <w:p w:rsidR="004F3F35" w:rsidRPr="0015655E" w:rsidRDefault="004F3F35" w:rsidP="00B24149">
            <w:pPr>
              <w:pStyle w:val="NoSpacing"/>
              <w:widowControl w:val="0"/>
              <w:autoSpaceDE w:val="0"/>
              <w:autoSpaceDN w:val="0"/>
              <w:adjustRightInd w:val="0"/>
              <w:ind w:left="142" w:right="283"/>
              <w:jc w:val="both"/>
              <w:rPr>
                <w:rFonts w:ascii="Times New Roman" w:hAnsi="Times New Roman"/>
                <w:vanish/>
                <w:sz w:val="28"/>
                <w:szCs w:val="28"/>
              </w:rPr>
            </w:pPr>
          </w:p>
          <w:p w:rsidR="004F3F35" w:rsidRPr="0015655E" w:rsidRDefault="004F3F35" w:rsidP="00B24149">
            <w:pPr>
              <w:pStyle w:val="NoSpacing"/>
              <w:widowControl w:val="0"/>
              <w:autoSpaceDE w:val="0"/>
              <w:autoSpaceDN w:val="0"/>
              <w:adjustRightInd w:val="0"/>
              <w:ind w:left="142" w:right="283"/>
              <w:jc w:val="both"/>
              <w:rPr>
                <w:rFonts w:ascii="Times New Roman" w:hAnsi="Times New Roman"/>
                <w:vanish/>
                <w:sz w:val="28"/>
                <w:szCs w:val="28"/>
              </w:rPr>
            </w:pPr>
          </w:p>
          <w:p w:rsidR="004F3F35" w:rsidRPr="0015655E" w:rsidRDefault="004F3F35" w:rsidP="00B24149">
            <w:pPr>
              <w:pStyle w:val="NoSpacing"/>
              <w:widowControl w:val="0"/>
              <w:autoSpaceDE w:val="0"/>
              <w:autoSpaceDN w:val="0"/>
              <w:adjustRightInd w:val="0"/>
              <w:ind w:left="142" w:right="283"/>
              <w:jc w:val="both"/>
              <w:rPr>
                <w:rFonts w:ascii="Times New Roman" w:hAnsi="Times New Roman"/>
                <w:vanish/>
                <w:sz w:val="28"/>
                <w:szCs w:val="28"/>
              </w:rPr>
            </w:pPr>
          </w:p>
          <w:p w:rsidR="004F3F35" w:rsidRPr="0015655E" w:rsidRDefault="004F3F35" w:rsidP="00B24149">
            <w:pPr>
              <w:pStyle w:val="NoSpacing"/>
              <w:widowControl w:val="0"/>
              <w:autoSpaceDE w:val="0"/>
              <w:autoSpaceDN w:val="0"/>
              <w:adjustRightInd w:val="0"/>
              <w:ind w:left="142" w:right="283"/>
              <w:jc w:val="both"/>
              <w:rPr>
                <w:rFonts w:ascii="Times New Roman" w:hAnsi="Times New Roman"/>
                <w:vanish/>
                <w:sz w:val="28"/>
                <w:szCs w:val="28"/>
              </w:rPr>
            </w:pPr>
          </w:p>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lastRenderedPageBreak/>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281FA0" w:rsidRDefault="004F3F35" w:rsidP="00B24149">
            <w:pPr>
              <w:pStyle w:val="NoSpacing"/>
              <w:widowControl w:val="0"/>
              <w:autoSpaceDE w:val="0"/>
              <w:autoSpaceDN w:val="0"/>
              <w:adjustRightInd w:val="0"/>
              <w:ind w:right="272"/>
              <w:jc w:val="both"/>
              <w:rPr>
                <w:rFonts w:ascii="Times New Roman" w:hAnsi="Times New Roman"/>
                <w:sz w:val="28"/>
                <w:szCs w:val="28"/>
              </w:rPr>
            </w:pPr>
            <w:r w:rsidRPr="00281FA0">
              <w:rPr>
                <w:rFonts w:ascii="Times New Roman" w:hAnsi="Times New Roman"/>
                <w:b/>
                <w:bCs/>
                <w:sz w:val="28"/>
                <w:szCs w:val="28"/>
              </w:rPr>
              <w:t>Финансовые отчеты</w:t>
            </w:r>
          </w:p>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Если эмитент составляет и собственную годовую финансовую отчетность и консолидированную, он должен включить в документ </w:t>
            </w:r>
            <w:proofErr w:type="gramStart"/>
            <w:r w:rsidRPr="0015655E">
              <w:rPr>
                <w:rFonts w:ascii="Times New Roman" w:hAnsi="Times New Roman"/>
                <w:sz w:val="28"/>
                <w:szCs w:val="28"/>
              </w:rPr>
              <w:t>регистрации</w:t>
            </w:r>
            <w:proofErr w:type="gramEnd"/>
            <w:r w:rsidRPr="0015655E">
              <w:rPr>
                <w:rFonts w:ascii="Times New Roman" w:hAnsi="Times New Roman"/>
                <w:sz w:val="28"/>
                <w:szCs w:val="28"/>
              </w:rPr>
              <w:t xml:space="preserve"> по меньшей мере консолидированные годовые финансовые отчеты.</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3)</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281FA0" w:rsidRDefault="004F3F35" w:rsidP="00B24149">
            <w:pPr>
              <w:pStyle w:val="NoSpacing"/>
              <w:widowControl w:val="0"/>
              <w:autoSpaceDE w:val="0"/>
              <w:autoSpaceDN w:val="0"/>
              <w:adjustRightInd w:val="0"/>
              <w:ind w:right="272"/>
              <w:jc w:val="both"/>
              <w:rPr>
                <w:rFonts w:ascii="Times New Roman" w:hAnsi="Times New Roman"/>
                <w:sz w:val="28"/>
                <w:szCs w:val="28"/>
              </w:rPr>
            </w:pPr>
            <w:r w:rsidRPr="00281FA0">
              <w:rPr>
                <w:rFonts w:ascii="Times New Roman" w:hAnsi="Times New Roman"/>
                <w:b/>
                <w:bCs/>
                <w:sz w:val="28"/>
                <w:szCs w:val="28"/>
              </w:rPr>
              <w:t>Аудит годовой финансовой информации</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Cs/>
                <w:sz w:val="28"/>
                <w:szCs w:val="28"/>
              </w:rPr>
              <w:t>a)</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Декларация, в которой подтверждается, что финансовая информация подверглась аудиту. Если аудиторы отказались составить аудиторский отчет о финансовой информации или если аудиторский отчет содержит оговорку или предупреждение о невозможности изложения своего мнения, соответствующие отказ, оговорки или предупреждения воспроизводятся полностью и сопровождаются объяснением.</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Cs/>
                <w:sz w:val="28"/>
                <w:szCs w:val="28"/>
              </w:rPr>
              <w:t>b)</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Указать остальные сведения из документа регистрации, которые подверглись аудиту.</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Cs/>
                <w:sz w:val="28"/>
                <w:szCs w:val="28"/>
              </w:rPr>
              <w:t>c)</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В случае, когда финансовая информация из документа регистрации не </w:t>
            </w:r>
            <w:r w:rsidRPr="0015655E">
              <w:rPr>
                <w:rFonts w:ascii="Times New Roman" w:hAnsi="Times New Roman"/>
                <w:sz w:val="28"/>
                <w:szCs w:val="28"/>
              </w:rPr>
              <w:lastRenderedPageBreak/>
              <w:t xml:space="preserve">была изъята из финансовых отчетов эмитента, указать ее источник и то, что она не подверглась аудиту.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lastRenderedPageBreak/>
              <w:t>4)</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281FA0" w:rsidRDefault="004F3F35" w:rsidP="00B24149">
            <w:pPr>
              <w:pStyle w:val="NoSpacing"/>
              <w:widowControl w:val="0"/>
              <w:autoSpaceDE w:val="0"/>
              <w:autoSpaceDN w:val="0"/>
              <w:adjustRightInd w:val="0"/>
              <w:ind w:right="272"/>
              <w:jc w:val="both"/>
              <w:rPr>
                <w:rFonts w:ascii="Times New Roman" w:hAnsi="Times New Roman"/>
                <w:sz w:val="28"/>
                <w:szCs w:val="28"/>
              </w:rPr>
            </w:pPr>
            <w:r w:rsidRPr="00281FA0">
              <w:rPr>
                <w:rFonts w:ascii="Times New Roman" w:hAnsi="Times New Roman"/>
                <w:b/>
                <w:bCs/>
                <w:sz w:val="28"/>
                <w:szCs w:val="28"/>
              </w:rPr>
              <w:t>Дата самой последней финансовой информации</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Cs/>
                <w:sz w:val="28"/>
                <w:szCs w:val="28"/>
              </w:rPr>
              <w:t>a)</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Последний финансовый период, финансовая информация которого подверглась аудиту, должен завершиться не более чем за 18 месяцев до даты документа регистрации.</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5)</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281FA0" w:rsidRDefault="004F3F35" w:rsidP="00B24149">
            <w:pPr>
              <w:pStyle w:val="NoSpacing"/>
              <w:widowControl w:val="0"/>
              <w:autoSpaceDE w:val="0"/>
              <w:autoSpaceDN w:val="0"/>
              <w:adjustRightInd w:val="0"/>
              <w:ind w:right="272"/>
              <w:jc w:val="both"/>
              <w:rPr>
                <w:rFonts w:ascii="Times New Roman" w:hAnsi="Times New Roman"/>
                <w:sz w:val="28"/>
                <w:szCs w:val="28"/>
              </w:rPr>
            </w:pPr>
            <w:r w:rsidRPr="00281FA0">
              <w:rPr>
                <w:rFonts w:ascii="Times New Roman" w:hAnsi="Times New Roman"/>
                <w:b/>
                <w:bCs/>
                <w:sz w:val="28"/>
                <w:szCs w:val="28"/>
              </w:rPr>
              <w:t>Промежуточная финансовая информация и другая информация</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Cs/>
                <w:sz w:val="28"/>
                <w:szCs w:val="28"/>
              </w:rPr>
              <w:t>a)</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Если эмитент опубликовал квартальную или полугодовую финансовую информацию после даты последних финансовых отчетов, данная финансовая информация должна быть включена в документ регистрации. Если данная квартальная или полугодовая финансовая информация была пересмотрена или подвергнута аудиту, необходимо включить также и отчет о пересмотре или аудите. Если в этом нет необходимости, данный факт указывается.</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Cs/>
                <w:sz w:val="28"/>
                <w:szCs w:val="28"/>
              </w:rPr>
              <w:t>b)</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Если был составлен позже 9-ти месяцев после завершения последнего отчетного периода, документ регистрации должен содержать промежуточные финансовые </w:t>
            </w:r>
            <w:proofErr w:type="gramStart"/>
            <w:r w:rsidRPr="0015655E">
              <w:rPr>
                <w:rFonts w:ascii="Times New Roman" w:hAnsi="Times New Roman"/>
                <w:sz w:val="28"/>
                <w:szCs w:val="28"/>
              </w:rPr>
              <w:t>отчеты</w:t>
            </w:r>
            <w:proofErr w:type="gramEnd"/>
            <w:r w:rsidRPr="0015655E">
              <w:rPr>
                <w:rFonts w:ascii="Times New Roman" w:hAnsi="Times New Roman"/>
                <w:sz w:val="28"/>
                <w:szCs w:val="28"/>
              </w:rPr>
              <w:t xml:space="preserve"> по меньшей мере за первые 6 месяцев текущего финансового года. Если промежуточная финансовая информация  не подверглась аудиту, данный факт уточняется.</w:t>
            </w:r>
          </w:p>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Промежуточные финансовые отчеты сопровождаются сравнительными финансовыми отчетами за тот же предыдущий отчетный период; несмотря на это, представление годовых балансов является достаточным для выполнения требования о сравнительных сведениях в балансе.</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6)</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281FA0" w:rsidRDefault="004F3F35" w:rsidP="00B24149">
            <w:pPr>
              <w:pStyle w:val="NoSpacing"/>
              <w:widowControl w:val="0"/>
              <w:autoSpaceDE w:val="0"/>
              <w:autoSpaceDN w:val="0"/>
              <w:adjustRightInd w:val="0"/>
              <w:ind w:right="272"/>
              <w:jc w:val="both"/>
              <w:rPr>
                <w:rFonts w:ascii="Times New Roman" w:hAnsi="Times New Roman"/>
                <w:sz w:val="28"/>
                <w:szCs w:val="28"/>
              </w:rPr>
            </w:pPr>
            <w:r w:rsidRPr="00281FA0">
              <w:rPr>
                <w:rFonts w:ascii="Times New Roman" w:hAnsi="Times New Roman"/>
                <w:b/>
                <w:bCs/>
                <w:sz w:val="28"/>
                <w:szCs w:val="28"/>
              </w:rPr>
              <w:t>Судебные процедуры</w:t>
            </w:r>
          </w:p>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Информация о любой судебной процедуре или, по меньшей мере, (включая любую такую незавершенную или потенциальную процедуру о которой известно эмитенту) за </w:t>
            </w:r>
            <w:proofErr w:type="gramStart"/>
            <w:r w:rsidRPr="0015655E">
              <w:rPr>
                <w:rFonts w:ascii="Times New Roman" w:hAnsi="Times New Roman"/>
                <w:sz w:val="28"/>
                <w:szCs w:val="28"/>
              </w:rPr>
              <w:t>последние</w:t>
            </w:r>
            <w:proofErr w:type="gramEnd"/>
            <w:r w:rsidRPr="0015655E">
              <w:rPr>
                <w:rFonts w:ascii="Times New Roman" w:hAnsi="Times New Roman"/>
                <w:sz w:val="28"/>
                <w:szCs w:val="28"/>
              </w:rPr>
              <w:t xml:space="preserve"> 12 месяцев, которая могла бы повлиять или недавно существенно повлияла на финансовое положение или прибыльность эмитента, либо соответствующая отрицательная декларация.</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7)</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281FA0" w:rsidRDefault="004F3F35" w:rsidP="00B24149">
            <w:pPr>
              <w:pStyle w:val="NoSpacing"/>
              <w:widowControl w:val="0"/>
              <w:autoSpaceDE w:val="0"/>
              <w:autoSpaceDN w:val="0"/>
              <w:adjustRightInd w:val="0"/>
              <w:ind w:right="272"/>
              <w:jc w:val="both"/>
              <w:rPr>
                <w:rFonts w:ascii="Times New Roman" w:hAnsi="Times New Roman"/>
                <w:b/>
                <w:bCs/>
                <w:sz w:val="28"/>
                <w:szCs w:val="28"/>
              </w:rPr>
            </w:pPr>
            <w:proofErr w:type="spellStart"/>
            <w:proofErr w:type="gramStart"/>
            <w:r w:rsidRPr="00281FA0">
              <w:rPr>
                <w:rFonts w:ascii="Times New Roman" w:hAnsi="Times New Roman"/>
                <w:b/>
                <w:bCs/>
                <w:sz w:val="28"/>
                <w:szCs w:val="28"/>
              </w:rPr>
              <w:t>C</w:t>
            </w:r>
            <w:proofErr w:type="gramEnd"/>
            <w:r w:rsidRPr="00281FA0">
              <w:rPr>
                <w:rFonts w:ascii="Times New Roman" w:hAnsi="Times New Roman"/>
                <w:b/>
                <w:bCs/>
                <w:sz w:val="28"/>
                <w:szCs w:val="28"/>
              </w:rPr>
              <w:t>ущественные</w:t>
            </w:r>
            <w:proofErr w:type="spellEnd"/>
            <w:r w:rsidRPr="00281FA0">
              <w:rPr>
                <w:rFonts w:ascii="Times New Roman" w:hAnsi="Times New Roman"/>
                <w:b/>
                <w:bCs/>
                <w:sz w:val="28"/>
                <w:szCs w:val="28"/>
              </w:rPr>
              <w:t xml:space="preserve"> изменения финансового положения эмитента </w:t>
            </w:r>
          </w:p>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Описание любого существенного изменения финансовой или коммерческой ситуации группы, которое произошло после завершения последнего финансового отчетного периода, за который были опубликованы подвергнутые аудиту финансовые отчеты или промежуточные финансовые отчеты, либо  соответствующая отрицательная декларация.</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b/>
                <w:bCs/>
                <w:sz w:val="28"/>
                <w:szCs w:val="28"/>
              </w:rPr>
            </w:pPr>
            <w:r w:rsidRPr="0015655E">
              <w:rPr>
                <w:rFonts w:ascii="Times New Roman" w:hAnsi="Times New Roman"/>
                <w:b/>
                <w:bCs/>
                <w:sz w:val="28"/>
                <w:szCs w:val="28"/>
              </w:rPr>
              <w:t xml:space="preserve">12. ЗНАЧИТЕЛЬНЫЕ ДОГОВОРА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b/>
                <w:sz w:val="28"/>
                <w:szCs w:val="28"/>
              </w:rPr>
            </w:pP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Резюме каждого значительного договора (</w:t>
            </w:r>
            <w:proofErr w:type="gramStart"/>
            <w:r w:rsidRPr="0015655E">
              <w:rPr>
                <w:rFonts w:ascii="Times New Roman" w:hAnsi="Times New Roman"/>
                <w:sz w:val="28"/>
                <w:szCs w:val="28"/>
              </w:rPr>
              <w:t>иные</w:t>
            </w:r>
            <w:proofErr w:type="gramEnd"/>
            <w:r w:rsidRPr="0015655E">
              <w:rPr>
                <w:rFonts w:ascii="Times New Roman" w:hAnsi="Times New Roman"/>
                <w:sz w:val="28"/>
                <w:szCs w:val="28"/>
              </w:rPr>
              <w:t xml:space="preserve"> чем заключенные в рамках обычной деятельности договора), который мог бы присвоить любому члену группы право или обязательство способные </w:t>
            </w:r>
            <w:r w:rsidRPr="0015655E">
              <w:rPr>
                <w:rFonts w:ascii="Times New Roman" w:hAnsi="Times New Roman"/>
                <w:sz w:val="28"/>
                <w:szCs w:val="28"/>
              </w:rPr>
              <w:lastRenderedPageBreak/>
              <w:t>существенно повлиять на способность эмитента выполнять свои обязанности, связанные с выпущенными ценными бумагами, перед их владельцами.</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sz w:val="28"/>
                <w:szCs w:val="28"/>
              </w:rPr>
            </w:pPr>
            <w:r w:rsidRPr="0015655E">
              <w:rPr>
                <w:rFonts w:ascii="Times New Roman" w:hAnsi="Times New Roman"/>
                <w:b/>
                <w:bCs/>
                <w:sz w:val="28"/>
                <w:szCs w:val="28"/>
              </w:rPr>
              <w:lastRenderedPageBreak/>
              <w:t xml:space="preserve">            13. ИНФОРМАЦИЯ, ПРЕДОСТАВЛЯЕМАЯ ТРЕТЬИМИ ЛИЦАМИ, ДЕКЛАРАЦИИ ЭКСПЕРТОВ И ДЕКЛАРАЦИИ ИНТЕРЕСОВ </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1)</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r w:rsidRPr="0015655E">
              <w:rPr>
                <w:rFonts w:ascii="Times New Roman" w:hAnsi="Times New Roman"/>
                <w:sz w:val="28"/>
                <w:szCs w:val="28"/>
              </w:rPr>
              <w:t xml:space="preserve">В случае, когда документ регистрации содержит декларацию или отчет, присваиваемые лицу, действующему в качестве эксперта, указать фамилию, рабочий адрес и квалификацию данного лица и, в зависимости от случая, любые существенные интересы данного лица относительно эмитента. Если отчет или декларация были составлены по заявлению эмитента, прилагается </w:t>
            </w:r>
            <w:proofErr w:type="gramStart"/>
            <w:r w:rsidRPr="0015655E">
              <w:rPr>
                <w:rFonts w:ascii="Times New Roman" w:hAnsi="Times New Roman"/>
                <w:sz w:val="28"/>
                <w:szCs w:val="28"/>
              </w:rPr>
              <w:t>декларация, подтверждающая что эти документы были</w:t>
            </w:r>
            <w:proofErr w:type="gramEnd"/>
            <w:r w:rsidRPr="0015655E">
              <w:rPr>
                <w:rFonts w:ascii="Times New Roman" w:hAnsi="Times New Roman"/>
                <w:sz w:val="28"/>
                <w:szCs w:val="28"/>
              </w:rPr>
              <w:t xml:space="preserve"> включены, в соответствующей форме и в определенном контексте, с согласия лица, удостоверившего содержание данной части документа регистрации.</w:t>
            </w:r>
          </w:p>
        </w:tc>
      </w:tr>
      <w:tr w:rsidR="004F3F35" w:rsidRPr="0015655E" w:rsidTr="00B24149">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sz w:val="28"/>
                <w:szCs w:val="28"/>
              </w:rPr>
            </w:pPr>
            <w:r w:rsidRPr="0015655E">
              <w:rPr>
                <w:rFonts w:ascii="Times New Roman" w:hAnsi="Times New Roman"/>
                <w:b/>
                <w:bCs/>
                <w:sz w:val="28"/>
                <w:szCs w:val="28"/>
              </w:rPr>
              <w:t>2)</w:t>
            </w: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83"/>
              <w:jc w:val="both"/>
              <w:rPr>
                <w:rFonts w:ascii="Times New Roman" w:hAnsi="Times New Roman"/>
                <w:sz w:val="28"/>
                <w:szCs w:val="28"/>
              </w:rPr>
            </w:pPr>
            <w:proofErr w:type="gramStart"/>
            <w:r w:rsidRPr="0015655E">
              <w:rPr>
                <w:rFonts w:ascii="Times New Roman" w:hAnsi="Times New Roman"/>
                <w:sz w:val="28"/>
                <w:szCs w:val="28"/>
              </w:rPr>
              <w:t>В случае поступления информации от третьего лица, предоставляется подтверждение того, что данная информация была воспроизведена с аккуратностью и что, по сведениям эмитента и в зависимости от того что он в состоянии подтвердить, принимая во внимание сведения, опубликованные соответствующей третьей стороной, не умалчиваются факты, которые сделали бы воспроизведенную информацию ложной или вводящей в заблуждение.</w:t>
            </w:r>
            <w:proofErr w:type="gramEnd"/>
            <w:r w:rsidRPr="0015655E">
              <w:rPr>
                <w:rFonts w:ascii="Times New Roman" w:hAnsi="Times New Roman"/>
                <w:sz w:val="28"/>
                <w:szCs w:val="28"/>
              </w:rPr>
              <w:t xml:space="preserve"> Указать, также, источник (источники) данной информации.</w:t>
            </w:r>
          </w:p>
        </w:tc>
      </w:tr>
      <w:tr w:rsidR="004F3F35"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4F3F35" w:rsidRPr="0015655E" w:rsidRDefault="004F3F35" w:rsidP="00B24149">
            <w:pPr>
              <w:pStyle w:val="NoSpacing"/>
              <w:widowControl w:val="0"/>
              <w:autoSpaceDE w:val="0"/>
              <w:autoSpaceDN w:val="0"/>
              <w:adjustRightInd w:val="0"/>
              <w:ind w:left="142" w:right="283"/>
              <w:jc w:val="center"/>
              <w:rPr>
                <w:rFonts w:ascii="Times New Roman" w:hAnsi="Times New Roman"/>
                <w:b/>
                <w:bCs/>
                <w:sz w:val="28"/>
                <w:szCs w:val="28"/>
              </w:rPr>
            </w:pPr>
            <w:r w:rsidRPr="0015655E">
              <w:rPr>
                <w:rFonts w:ascii="Times New Roman" w:hAnsi="Times New Roman"/>
                <w:b/>
                <w:bCs/>
                <w:sz w:val="28"/>
                <w:szCs w:val="28"/>
              </w:rPr>
              <w:t xml:space="preserve">14. ОБНАРОДОВАННЫЕ ДОКУМЕНТЫ </w:t>
            </w:r>
          </w:p>
        </w:tc>
      </w:tr>
      <w:tr w:rsidR="004F3F35" w:rsidRPr="0015655E" w:rsidTr="00B24149">
        <w:trPr>
          <w:trHeight w:val="1118"/>
        </w:trPr>
        <w:tc>
          <w:tcPr>
            <w:tcW w:w="372"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left="142" w:right="283"/>
              <w:jc w:val="both"/>
              <w:rPr>
                <w:rFonts w:ascii="Times New Roman" w:hAnsi="Times New Roman"/>
                <w:b/>
                <w:sz w:val="28"/>
                <w:szCs w:val="28"/>
              </w:rPr>
            </w:pPr>
          </w:p>
        </w:tc>
        <w:tc>
          <w:tcPr>
            <w:tcW w:w="4628"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Декларация, подтверждающая что, в период, на протяжении которого действителен документ регистрации, можно ознакомиться, в зависимости от случая, со следующими документами (или их копиями, заверенными эмитентом):</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учредительный акт и устав эмитента;</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b) все отчеты и иные документы, финансовая информация, оценки и декларации, составленные экспертами по требованию эмитента, из которых определенные части включены или указаны в документе регистрации;</w:t>
            </w:r>
          </w:p>
          <w:p w:rsidR="004F3F35" w:rsidRPr="0015655E" w:rsidRDefault="004F3F35"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c) финансовая информация эмитента или, в случае группы, финансовая информация эмитента и его филиалов, за каждый из двух отчетных периодов предшествующих опубликованию документа регистрации. Указать </w:t>
            </w:r>
            <w:proofErr w:type="gramStart"/>
            <w:r w:rsidRPr="0015655E">
              <w:rPr>
                <w:rFonts w:ascii="Times New Roman" w:hAnsi="Times New Roman"/>
                <w:sz w:val="28"/>
                <w:szCs w:val="28"/>
              </w:rPr>
              <w:t>место</w:t>
            </w:r>
            <w:proofErr w:type="gramEnd"/>
            <w:r w:rsidRPr="0015655E">
              <w:rPr>
                <w:rFonts w:ascii="Times New Roman" w:hAnsi="Times New Roman"/>
                <w:sz w:val="28"/>
                <w:szCs w:val="28"/>
              </w:rPr>
              <w:t xml:space="preserve"> где можно ознакомиться, на физическом носителе или в электронной форме, с вышеуказанными документами.</w:t>
            </w:r>
          </w:p>
        </w:tc>
      </w:tr>
    </w:tbl>
    <w:p w:rsidR="004F3F35" w:rsidRDefault="004F3F35">
      <w:bookmarkStart w:id="0" w:name="_GoBack"/>
      <w:bookmarkEnd w:id="0"/>
    </w:p>
    <w:sectPr w:rsidR="004F3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35"/>
    <w:rsid w:val="004F3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35"/>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3F35"/>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4F3F35"/>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F35"/>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3F35"/>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4F3F35"/>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10784</Characters>
  <Application>Microsoft Office Word</Application>
  <DocSecurity>0</DocSecurity>
  <Lines>89</Lines>
  <Paragraphs>25</Paragraphs>
  <ScaleCrop>false</ScaleCrop>
  <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2018-05-29T06:33:00Z</dcterms:created>
  <dcterms:modified xsi:type="dcterms:W3CDTF">2018-05-29T06:34:00Z</dcterms:modified>
</cp:coreProperties>
</file>